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706" w:rsidRPr="00416DE4" w:rsidRDefault="00E25AF6" w:rsidP="008224EC">
      <w:pPr>
        <w:spacing w:after="240"/>
        <w:rPr>
          <w:rFonts w:ascii="FDOT Bold" w:hAnsi="FDOT Bold" w:cs="FDOT Bold"/>
          <w:sz w:val="13"/>
          <w:szCs w:val="13"/>
        </w:rPr>
      </w:pPr>
      <w:r w:rsidRPr="00416DE4">
        <w:rPr>
          <w:rFonts w:ascii="FDOT Bold" w:hAnsi="FDOT Bold" w:cs="FDOT Bold"/>
          <w:sz w:val="13"/>
          <w:szCs w:val="13"/>
        </w:rPr>
        <w:t>GENERAL NOTES:</w:t>
      </w:r>
    </w:p>
    <w:p w:rsidR="00CB1AC9" w:rsidRPr="00416DE4" w:rsidRDefault="00E25AF6" w:rsidP="00CB1AC9">
      <w:pPr>
        <w:pStyle w:val="ListParagraph"/>
        <w:numPr>
          <w:ilvl w:val="0"/>
          <w:numId w:val="1"/>
        </w:numPr>
        <w:spacing w:after="0"/>
        <w:ind w:left="360"/>
        <w:contextualSpacing w:val="0"/>
        <w:rPr>
          <w:rFonts w:ascii="FDOT Bold" w:hAnsi="FDOT Bold" w:cs="FDOT Bold"/>
          <w:sz w:val="13"/>
          <w:szCs w:val="13"/>
        </w:rPr>
      </w:pPr>
      <w:r w:rsidRPr="00416DE4">
        <w:rPr>
          <w:rFonts w:ascii="FDOT Bold" w:hAnsi="FDOT Bold" w:cs="FDOT Bold"/>
          <w:sz w:val="13"/>
          <w:szCs w:val="13"/>
        </w:rPr>
        <w:t xml:space="preserve">TEMPORARY LIGHTING CRITERIA:                                                                                         </w:t>
      </w:r>
      <w:r w:rsidR="00416DE4">
        <w:rPr>
          <w:rFonts w:ascii="FDOT Bold" w:hAnsi="FDOT Bold" w:cs="FDOT Bold"/>
          <w:sz w:val="13"/>
          <w:szCs w:val="13"/>
        </w:rPr>
        <w:t xml:space="preserve">         </w:t>
      </w:r>
      <w:r w:rsidR="00AF3613">
        <w:rPr>
          <w:rFonts w:ascii="FDOT Bold" w:hAnsi="FDOT Bold" w:cs="FDOT Bold"/>
          <w:sz w:val="13"/>
          <w:szCs w:val="13"/>
        </w:rPr>
        <w:t>1.5</w:t>
      </w:r>
      <w:r w:rsidRPr="00416DE4">
        <w:rPr>
          <w:rFonts w:ascii="FDOT Bold" w:hAnsi="FDOT Bold" w:cs="FDOT Bold"/>
          <w:sz w:val="13"/>
          <w:szCs w:val="13"/>
        </w:rPr>
        <w:t xml:space="preserve"> FOOT CANDLES AVERAGE INITIAL INTENSITY</w:t>
      </w:r>
    </w:p>
    <w:p w:rsidR="00CB1AC9" w:rsidRPr="00416DE4" w:rsidRDefault="00E25AF6" w:rsidP="00CB1AC9">
      <w:pPr>
        <w:spacing w:after="0"/>
        <w:ind w:left="360"/>
        <w:rPr>
          <w:rFonts w:ascii="FDOT Bold" w:hAnsi="FDOT Bold" w:cs="FDOT Bold"/>
          <w:sz w:val="13"/>
          <w:szCs w:val="13"/>
        </w:rPr>
      </w:pPr>
      <w:r w:rsidRPr="00416DE4">
        <w:rPr>
          <w:rFonts w:ascii="FDOT Bold" w:hAnsi="FDOT Bold" w:cs="FDOT Bold"/>
          <w:sz w:val="13"/>
          <w:szCs w:val="13"/>
        </w:rPr>
        <w:t>4:1 OR LESS AVERAGE/MINIMUM UNIFORMITY RATIO</w:t>
      </w:r>
    </w:p>
    <w:p w:rsidR="00CB1AC9" w:rsidRPr="00416DE4" w:rsidRDefault="00E25AF6" w:rsidP="00CB1AC9">
      <w:pPr>
        <w:spacing w:after="0"/>
        <w:ind w:firstLine="360"/>
        <w:rPr>
          <w:rFonts w:ascii="FDOT Bold" w:hAnsi="FDOT Bold" w:cs="FDOT Bold"/>
          <w:sz w:val="13"/>
          <w:szCs w:val="13"/>
        </w:rPr>
      </w:pPr>
      <w:r w:rsidRPr="00416DE4">
        <w:rPr>
          <w:rFonts w:ascii="FDOT Bold" w:hAnsi="FDOT Bold" w:cs="FDOT Bold"/>
          <w:sz w:val="13"/>
          <w:szCs w:val="13"/>
        </w:rPr>
        <w:t>10:1 OR LESS MAXIMUM/MINIMUM UNIFORMITY RATIO</w:t>
      </w:r>
    </w:p>
    <w:p w:rsidR="00CB1AC9" w:rsidRPr="00416DE4" w:rsidRDefault="00E25AF6" w:rsidP="00CB1AC9">
      <w:pPr>
        <w:ind w:firstLine="360"/>
        <w:rPr>
          <w:rFonts w:ascii="FDOT Bold" w:hAnsi="FDOT Bold" w:cs="FDOT Bold"/>
          <w:sz w:val="13"/>
          <w:szCs w:val="13"/>
        </w:rPr>
      </w:pPr>
      <w:r w:rsidRPr="00416DE4">
        <w:rPr>
          <w:rFonts w:ascii="FDOT Bold" w:hAnsi="FDOT Bold" w:cs="FDOT Bold"/>
          <w:sz w:val="13"/>
          <w:szCs w:val="13"/>
        </w:rPr>
        <w:t xml:space="preserve">0.3:1 OR LESS VEILING LUMINANCE RATIO </w:t>
      </w:r>
    </w:p>
    <w:p w:rsidR="00CB1AC9" w:rsidRPr="00416DE4" w:rsidRDefault="00E25AF6" w:rsidP="00CB1AC9">
      <w:pPr>
        <w:pStyle w:val="ListParagraph"/>
        <w:numPr>
          <w:ilvl w:val="0"/>
          <w:numId w:val="1"/>
        </w:numPr>
        <w:spacing w:after="0"/>
        <w:ind w:left="360"/>
        <w:rPr>
          <w:rFonts w:ascii="FDOT Bold" w:hAnsi="FDOT Bold" w:cs="FDOT Bold"/>
          <w:sz w:val="13"/>
          <w:szCs w:val="13"/>
        </w:rPr>
      </w:pPr>
      <w:r w:rsidRPr="00416DE4">
        <w:rPr>
          <w:rFonts w:ascii="FDOT Bold" w:hAnsi="FDOT Bold" w:cs="FDOT Bold"/>
          <w:sz w:val="13"/>
          <w:szCs w:val="13"/>
        </w:rPr>
        <w:t>BARRIER-MOUNTED 100 W HPS FLOODLIGHT (RAB-FX100 OR EQUIVALENT) SPACED:</w:t>
      </w:r>
    </w:p>
    <w:p w:rsidR="00CB1AC9" w:rsidRPr="00416DE4" w:rsidRDefault="00AF3613" w:rsidP="00CB1AC9">
      <w:pPr>
        <w:spacing w:after="0"/>
        <w:ind w:firstLine="360"/>
        <w:rPr>
          <w:rFonts w:ascii="FDOT Bold" w:hAnsi="FDOT Bold" w:cs="FDOT Bold"/>
          <w:sz w:val="13"/>
          <w:szCs w:val="13"/>
        </w:rPr>
      </w:pPr>
      <w:r>
        <w:rPr>
          <w:rFonts w:ascii="FDOT Bold" w:hAnsi="FDOT Bold" w:cs="FDOT Bold"/>
          <w:sz w:val="13"/>
          <w:szCs w:val="13"/>
        </w:rPr>
        <w:t>XX’ ON CENTERS AT 20’ M.H. (XX</w:t>
      </w:r>
      <w:r w:rsidR="00E25AF6" w:rsidRPr="00416DE4">
        <w:rPr>
          <w:rFonts w:ascii="FDOT Bold" w:hAnsi="FDOT Bold" w:cs="FDOT Bold"/>
          <w:sz w:val="13"/>
          <w:szCs w:val="13"/>
        </w:rPr>
        <w:t>°TILT) FOR 1 LANE OF TRAFFIC;</w:t>
      </w:r>
    </w:p>
    <w:p w:rsidR="00CB1AC9" w:rsidRPr="00416DE4" w:rsidRDefault="00AF3613" w:rsidP="00CB1AC9">
      <w:pPr>
        <w:spacing w:after="0"/>
        <w:ind w:firstLine="360"/>
        <w:rPr>
          <w:rFonts w:ascii="FDOT Bold" w:hAnsi="FDOT Bold" w:cs="FDOT Bold"/>
          <w:sz w:val="13"/>
          <w:szCs w:val="13"/>
        </w:rPr>
      </w:pPr>
      <w:r>
        <w:rPr>
          <w:rFonts w:ascii="FDOT Bold" w:hAnsi="FDOT Bold" w:cs="FDOT Bold"/>
          <w:sz w:val="13"/>
          <w:szCs w:val="13"/>
        </w:rPr>
        <w:t>XX</w:t>
      </w:r>
      <w:r w:rsidR="00E25AF6" w:rsidRPr="00416DE4">
        <w:rPr>
          <w:rFonts w:ascii="FDOT Bold" w:hAnsi="FDOT Bold" w:cs="FDOT Bold"/>
          <w:sz w:val="13"/>
          <w:szCs w:val="13"/>
        </w:rPr>
        <w:t>’ ON CENTERS AT 20’ M.H. (</w:t>
      </w:r>
      <w:r>
        <w:rPr>
          <w:rFonts w:ascii="FDOT Bold" w:hAnsi="FDOT Bold" w:cs="FDOT Bold"/>
          <w:sz w:val="13"/>
          <w:szCs w:val="13"/>
        </w:rPr>
        <w:t>XX</w:t>
      </w:r>
      <w:r w:rsidR="00E25AF6" w:rsidRPr="00416DE4">
        <w:rPr>
          <w:rFonts w:ascii="FDOT Bold" w:hAnsi="FDOT Bold" w:cs="FDOT Bold"/>
          <w:sz w:val="13"/>
          <w:szCs w:val="13"/>
        </w:rPr>
        <w:t>°TILT) FOR 2 LANES OF TRAFFIC;</w:t>
      </w:r>
    </w:p>
    <w:p w:rsidR="00CB1AC9" w:rsidRPr="00416DE4" w:rsidRDefault="00AF3613" w:rsidP="00CB1AC9">
      <w:pPr>
        <w:ind w:firstLine="360"/>
        <w:rPr>
          <w:rFonts w:ascii="FDOT Bold" w:hAnsi="FDOT Bold" w:cs="FDOT Bold"/>
          <w:sz w:val="13"/>
          <w:szCs w:val="13"/>
        </w:rPr>
      </w:pPr>
      <w:r>
        <w:rPr>
          <w:rFonts w:ascii="FDOT Bold" w:hAnsi="FDOT Bold" w:cs="FDOT Bold"/>
          <w:sz w:val="13"/>
          <w:szCs w:val="13"/>
        </w:rPr>
        <w:t>XX</w:t>
      </w:r>
      <w:r w:rsidR="00E25AF6" w:rsidRPr="00416DE4">
        <w:rPr>
          <w:rFonts w:ascii="FDOT Bold" w:hAnsi="FDOT Bold" w:cs="FDOT Bold"/>
          <w:sz w:val="13"/>
          <w:szCs w:val="13"/>
        </w:rPr>
        <w:t>’ ON CENTERS AT 20’ M.H. (</w:t>
      </w:r>
      <w:r>
        <w:rPr>
          <w:rFonts w:ascii="FDOT Bold" w:hAnsi="FDOT Bold" w:cs="FDOT Bold"/>
          <w:sz w:val="13"/>
          <w:szCs w:val="13"/>
        </w:rPr>
        <w:t>XX</w:t>
      </w:r>
      <w:r w:rsidR="00E25AF6" w:rsidRPr="00416DE4">
        <w:rPr>
          <w:rFonts w:ascii="FDOT Bold" w:hAnsi="FDOT Bold" w:cs="FDOT Bold"/>
          <w:sz w:val="13"/>
          <w:szCs w:val="13"/>
        </w:rPr>
        <w:t>°TILT) FOR 3 LANES OF TRAFFIC.</w:t>
      </w:r>
    </w:p>
    <w:p w:rsidR="00CB1AC9" w:rsidRPr="00AF3613" w:rsidRDefault="00E25AF6" w:rsidP="00AF3613">
      <w:pPr>
        <w:pStyle w:val="ListParagraph"/>
        <w:numPr>
          <w:ilvl w:val="0"/>
          <w:numId w:val="1"/>
        </w:numPr>
        <w:ind w:left="360"/>
        <w:contextualSpacing w:val="0"/>
        <w:rPr>
          <w:rFonts w:ascii="FDOT Bold" w:hAnsi="FDOT Bold" w:cs="FDOT Bold"/>
          <w:sz w:val="13"/>
          <w:szCs w:val="13"/>
        </w:rPr>
      </w:pPr>
      <w:r w:rsidRPr="00416DE4">
        <w:rPr>
          <w:rFonts w:ascii="FDOT Bold" w:hAnsi="FDOT Bold" w:cs="FDOT Bold"/>
          <w:sz w:val="13"/>
          <w:szCs w:val="13"/>
        </w:rPr>
        <w:t>MAINTAIN LIGHTING THROUGHOUT ALL PHASES OF CONSTRUCTION EITHER BY MAINTAINING THE EXISTING LIGHTING SYSTEM, PROVIDING TEMPORARY LIGHTING, OR ACTIVATING THE PROPOSED LIGHTING SYSTEM. THE TEMPORARY LIGHTING SYSTEM SHOULD BE OPERATIONAL BEFORE REMOVAL OF THE EXISTING LIGHTING SYSTEM.</w:t>
      </w:r>
      <w:r w:rsidR="00AF3613">
        <w:rPr>
          <w:rFonts w:ascii="FDOT Bold" w:hAnsi="FDOT Bold" w:cs="FDOT Bold"/>
          <w:sz w:val="13"/>
          <w:szCs w:val="13"/>
        </w:rPr>
        <w:t xml:space="preserve"> </w:t>
      </w:r>
      <w:r w:rsidR="00AF3613">
        <w:rPr>
          <w:rFonts w:ascii="FDOT Bold" w:hAnsi="FDOT Bold" w:cs="FDOT Bold"/>
          <w:sz w:val="13"/>
          <w:szCs w:val="13"/>
        </w:rPr>
        <w:t>TEMPORARY LIGHTING SHALL BE PROVIDED</w:t>
      </w:r>
      <w:r w:rsidR="00AF3613">
        <w:rPr>
          <w:rFonts w:ascii="FDOT Bold" w:hAnsi="FDOT Bold" w:cs="FDOT Bold"/>
          <w:sz w:val="13"/>
          <w:szCs w:val="13"/>
        </w:rPr>
        <w:t xml:space="preserve"> FOR MAINLINE, RAMPS, MERGING, AND DIVERGING AREAS</w:t>
      </w:r>
      <w:r w:rsidR="00AF3613">
        <w:rPr>
          <w:rFonts w:ascii="FDOT Bold" w:hAnsi="FDOT Bold" w:cs="FDOT Bold"/>
          <w:sz w:val="13"/>
          <w:szCs w:val="13"/>
        </w:rPr>
        <w:t xml:space="preserve"> DURING ALL PHASES OF CONSTRUCTION, EITHER BY USING THE EXISTING LIGHTING WHERE PRACTICAL OR BY PROVIDING NEW TEMPORARY LIGHTING WHEN THE ROADWAY RECONSTRUCTION AFFECTS THE EXISTING LIGHTING. EXISTING ILLUMINATION LEVELS SHALL BE MAINTAINED BY THE ELECTRICAL CONTRACTOR DURING ALL PHASES OF CONSTRUCTION</w:t>
      </w:r>
      <w:r w:rsidR="00AF3613">
        <w:rPr>
          <w:rFonts w:ascii="FDOT Bold" w:hAnsi="FDOT Bold" w:cs="FDOT Bold"/>
          <w:sz w:val="13"/>
          <w:szCs w:val="13"/>
        </w:rPr>
        <w:t>.</w:t>
      </w:r>
      <w:r w:rsidR="00AF3613">
        <w:rPr>
          <w:rFonts w:ascii="FDOT Bold" w:hAnsi="FDOT Bold" w:cs="FDOT Bold"/>
          <w:sz w:val="13"/>
          <w:szCs w:val="13"/>
        </w:rPr>
        <w:t xml:space="preserve"> PORTABLE-GENERATOR-OPERATED LIGHTS ARE NOT ACCEPTABLE FOR USE AS TEMPORARY LIGHTING. THE COST FOR MAINTAINING HIGHWAY LIGHTING (INCLUDING ELECTRIC SERVICE) IS INCLUDED IN THE COST FOR LUMP SUM MAINTENANCE OF TRAFFIC.</w:t>
      </w:r>
    </w:p>
    <w:p w:rsidR="00CB1AC9" w:rsidRPr="00416DE4" w:rsidRDefault="00E25AF6" w:rsidP="001D51BD">
      <w:pPr>
        <w:pStyle w:val="ListParagraph"/>
        <w:numPr>
          <w:ilvl w:val="0"/>
          <w:numId w:val="1"/>
        </w:numPr>
        <w:ind w:left="360"/>
        <w:contextualSpacing w:val="0"/>
        <w:rPr>
          <w:rFonts w:ascii="FDOT Bold" w:hAnsi="FDOT Bold" w:cs="FDOT Bold"/>
          <w:sz w:val="13"/>
          <w:szCs w:val="13"/>
        </w:rPr>
      </w:pPr>
      <w:r w:rsidRPr="00416DE4">
        <w:rPr>
          <w:rFonts w:ascii="FDOT Bold" w:hAnsi="FDOT Bold" w:cs="FDOT Bold"/>
          <w:sz w:val="13"/>
          <w:szCs w:val="13"/>
        </w:rPr>
        <w:t>FURNISH, INSTALL, MAINTAIN, RELOCATE AND REMOVE THE TEMPORARY LIGHTING SYSTEM IN ACCORDANCE WITH THE NATIONAL ELECTRIC CODE AND NATIONAL ELECTRIC SAFETY CODE REQUIREMENTS.</w:t>
      </w:r>
    </w:p>
    <w:p w:rsidR="001D51BD" w:rsidRPr="00416DE4" w:rsidRDefault="00E25AF6" w:rsidP="004F5D8E">
      <w:pPr>
        <w:pStyle w:val="ListParagraph"/>
        <w:numPr>
          <w:ilvl w:val="0"/>
          <w:numId w:val="1"/>
        </w:numPr>
        <w:ind w:left="360"/>
        <w:contextualSpacing w:val="0"/>
        <w:rPr>
          <w:rFonts w:ascii="FDOT Bold" w:hAnsi="FDOT Bold" w:cs="FDOT Bold"/>
          <w:sz w:val="13"/>
          <w:szCs w:val="13"/>
        </w:rPr>
      </w:pPr>
      <w:r w:rsidRPr="00416DE4">
        <w:rPr>
          <w:rFonts w:ascii="FDOT Bold" w:hAnsi="FDOT Bold" w:cs="FDOT Bold"/>
          <w:sz w:val="13"/>
          <w:szCs w:val="13"/>
        </w:rPr>
        <w:t>PROVIDE OVERHEAD WIRING WHEREVER POSSIBLE AT A MINIMUM HEIGHT OF 15’ ABOVE THE HIGHEST CONSTRUCTION GRADE LEVEL DURING ALL PHASES OF CONSTRUCTION. UNDERGROUND CONDUIT AND CONDUCTORS SHALL BE PROVIDED WHERE OVERHEAD WIRING WOULD INTERFERE WITH CONSTRUCTION.</w:t>
      </w:r>
    </w:p>
    <w:p w:rsidR="004240F7" w:rsidRPr="00416DE4" w:rsidRDefault="00E25AF6" w:rsidP="00F56856">
      <w:pPr>
        <w:pStyle w:val="ListParagraph"/>
        <w:numPr>
          <w:ilvl w:val="0"/>
          <w:numId w:val="1"/>
        </w:numPr>
        <w:ind w:left="360"/>
        <w:contextualSpacing w:val="0"/>
        <w:rPr>
          <w:rFonts w:ascii="FDOT Bold" w:hAnsi="FDOT Bold" w:cs="FDOT Bold"/>
          <w:sz w:val="13"/>
          <w:szCs w:val="13"/>
        </w:rPr>
      </w:pPr>
      <w:r w:rsidRPr="00416DE4">
        <w:rPr>
          <w:rFonts w:ascii="FDOT Bold" w:hAnsi="FDOT Bold" w:cs="FDOT Bold"/>
          <w:sz w:val="13"/>
          <w:szCs w:val="13"/>
        </w:rPr>
        <w:t>WHEREVER POSSIBLE, UTILIZE EXISTING CIRCUITS FROM THE EXISTING SERVICE POINTS TO POWER THE TEMPORARY LIGHTING SYSTEM.</w:t>
      </w:r>
    </w:p>
    <w:p w:rsidR="004240F7" w:rsidRPr="00416DE4" w:rsidRDefault="00E25AF6" w:rsidP="00F56856">
      <w:pPr>
        <w:pStyle w:val="ListParagraph"/>
        <w:numPr>
          <w:ilvl w:val="0"/>
          <w:numId w:val="1"/>
        </w:numPr>
        <w:ind w:left="360"/>
        <w:contextualSpacing w:val="0"/>
        <w:rPr>
          <w:rFonts w:ascii="FDOT Bold" w:hAnsi="FDOT Bold" w:cs="FDOT Bold"/>
          <w:sz w:val="13"/>
          <w:szCs w:val="13"/>
        </w:rPr>
      </w:pPr>
      <w:r w:rsidRPr="00416DE4">
        <w:rPr>
          <w:rFonts w:ascii="FDOT Bold" w:hAnsi="FDOT Bold" w:cs="FDOT Bold"/>
          <w:sz w:val="13"/>
          <w:szCs w:val="13"/>
        </w:rPr>
        <w:t>INSTALL TEMPORARY OR PROPOSED FIXTURES AND MODIFICATIONS TO EXISTING SYSTEMS DURING DAYLIGHT HOURS. THESE POLES SHALL BE OPERATIONAL AT NIGHT. THE CONTRACTOR MAY ELECT TO REMOVE/INSTALL POLES AT NIGHT, BUT SHALL PROVIDE SUFFICIENT LIGHTING PER TEMPORARY LIGHTING CRITERIA (PROVIDED ABOVE) TO COMPENSATE FOR THE DOWN POLES.</w:t>
      </w:r>
    </w:p>
    <w:p w:rsidR="00F56856" w:rsidRPr="00416DE4" w:rsidRDefault="00E25AF6" w:rsidP="00006286">
      <w:pPr>
        <w:pStyle w:val="ListParagraph"/>
        <w:numPr>
          <w:ilvl w:val="0"/>
          <w:numId w:val="1"/>
        </w:numPr>
        <w:ind w:left="360"/>
        <w:contextualSpacing w:val="0"/>
        <w:rPr>
          <w:rFonts w:ascii="FDOT Bold" w:hAnsi="FDOT Bold" w:cs="FDOT Bold"/>
          <w:sz w:val="13"/>
          <w:szCs w:val="13"/>
        </w:rPr>
      </w:pPr>
      <w:r w:rsidRPr="00416DE4">
        <w:rPr>
          <w:rFonts w:ascii="FDOT Bold" w:hAnsi="FDOT Bold" w:cs="FDOT Bold"/>
          <w:sz w:val="13"/>
          <w:szCs w:val="13"/>
        </w:rPr>
        <w:t>ALL COMP</w:t>
      </w:r>
      <w:r w:rsidR="00720C69">
        <w:rPr>
          <w:rFonts w:ascii="FDOT Bold" w:hAnsi="FDOT Bold" w:cs="FDOT Bold"/>
          <w:sz w:val="13"/>
          <w:szCs w:val="13"/>
        </w:rPr>
        <w:t>O</w:t>
      </w:r>
      <w:bookmarkStart w:id="0" w:name="_GoBack"/>
      <w:bookmarkEnd w:id="0"/>
      <w:r w:rsidRPr="00416DE4">
        <w:rPr>
          <w:rFonts w:ascii="FDOT Bold" w:hAnsi="FDOT Bold" w:cs="FDOT Bold"/>
          <w:sz w:val="13"/>
          <w:szCs w:val="13"/>
        </w:rPr>
        <w:t>NENTS OF THE TEMPORARY LIGHTING SYSTEMS THAT ARE NOT PART OF THE PROPOSED LIGHTING SYSTEM SHALL BE REMOVED WHEN NO LONGER NEEDED.</w:t>
      </w:r>
    </w:p>
    <w:p w:rsidR="00F56856" w:rsidRPr="00416DE4" w:rsidRDefault="00E25AF6" w:rsidP="001D51BD">
      <w:pPr>
        <w:pStyle w:val="ListParagraph"/>
        <w:numPr>
          <w:ilvl w:val="0"/>
          <w:numId w:val="1"/>
        </w:numPr>
        <w:spacing w:after="0"/>
        <w:ind w:left="360"/>
        <w:rPr>
          <w:rFonts w:ascii="FDOT Bold" w:hAnsi="FDOT Bold" w:cs="FDOT Bold"/>
          <w:sz w:val="13"/>
          <w:szCs w:val="13"/>
        </w:rPr>
      </w:pPr>
      <w:r w:rsidRPr="00416DE4">
        <w:rPr>
          <w:rFonts w:ascii="FDOT Bold" w:hAnsi="FDOT Bold" w:cs="FDOT Bold"/>
          <w:sz w:val="13"/>
          <w:szCs w:val="13"/>
        </w:rPr>
        <w:t>PRIOR TO ANY EQUIPMENT ORDER, SUBMIT FOR APPROVAL EQUIPMENT SPECIFICATION OR DESIGN DATA FOR ALL MATERIAL PROPOSED FOR THE TEMPORARY LIGHTING DESIGN, SPECIFICALLY INCLUDING:</w:t>
      </w:r>
    </w:p>
    <w:p w:rsidR="00F56856" w:rsidRPr="00416DE4" w:rsidRDefault="00E25AF6" w:rsidP="00F56856">
      <w:pPr>
        <w:pStyle w:val="ListParagraph"/>
        <w:numPr>
          <w:ilvl w:val="0"/>
          <w:numId w:val="2"/>
        </w:numPr>
        <w:spacing w:after="0"/>
        <w:rPr>
          <w:rFonts w:ascii="FDOT Bold" w:hAnsi="FDOT Bold" w:cs="FDOT Bold"/>
          <w:sz w:val="13"/>
          <w:szCs w:val="13"/>
        </w:rPr>
      </w:pPr>
      <w:r w:rsidRPr="00416DE4">
        <w:rPr>
          <w:rFonts w:ascii="FDOT Bold" w:hAnsi="FDOT Bold" w:cs="FDOT Bold"/>
          <w:sz w:val="13"/>
          <w:szCs w:val="13"/>
        </w:rPr>
        <w:t>LUMINAIRE PHOTOMETRICS, INCLUDING ELECTRONIC IES PHOTOMETRIC FILES</w:t>
      </w:r>
    </w:p>
    <w:p w:rsidR="00F56856" w:rsidRPr="00416DE4" w:rsidRDefault="00E25AF6" w:rsidP="00F56856">
      <w:pPr>
        <w:pStyle w:val="ListParagraph"/>
        <w:numPr>
          <w:ilvl w:val="0"/>
          <w:numId w:val="2"/>
        </w:numPr>
        <w:spacing w:after="0"/>
        <w:rPr>
          <w:rFonts w:ascii="FDOT Bold" w:hAnsi="FDOT Bold" w:cs="FDOT Bold"/>
          <w:sz w:val="13"/>
          <w:szCs w:val="13"/>
        </w:rPr>
      </w:pPr>
      <w:r w:rsidRPr="00416DE4">
        <w:rPr>
          <w:rFonts w:ascii="FDOT Bold" w:hAnsi="FDOT Bold" w:cs="FDOT Bold"/>
          <w:sz w:val="13"/>
          <w:szCs w:val="13"/>
        </w:rPr>
        <w:t>POLE STRENGTH CALCULATIONS</w:t>
      </w:r>
    </w:p>
    <w:p w:rsidR="00F56856" w:rsidRPr="00416DE4" w:rsidRDefault="00E25AF6" w:rsidP="00F56856">
      <w:pPr>
        <w:pStyle w:val="ListParagraph"/>
        <w:numPr>
          <w:ilvl w:val="0"/>
          <w:numId w:val="2"/>
        </w:numPr>
        <w:spacing w:after="0"/>
        <w:rPr>
          <w:rFonts w:ascii="FDOT Bold" w:hAnsi="FDOT Bold" w:cs="FDOT Bold"/>
          <w:sz w:val="13"/>
          <w:szCs w:val="13"/>
        </w:rPr>
      </w:pPr>
      <w:r w:rsidRPr="00416DE4">
        <w:rPr>
          <w:rFonts w:ascii="FDOT Bold" w:hAnsi="FDOT Bold" w:cs="FDOT Bold"/>
          <w:sz w:val="13"/>
          <w:szCs w:val="13"/>
        </w:rPr>
        <w:t>POLE FRANGIBILITY TEST (IF APPLICABLE)</w:t>
      </w:r>
    </w:p>
    <w:p w:rsidR="00F56856" w:rsidRPr="00416DE4" w:rsidRDefault="00E25AF6" w:rsidP="00F56856">
      <w:pPr>
        <w:pStyle w:val="ListParagraph"/>
        <w:numPr>
          <w:ilvl w:val="0"/>
          <w:numId w:val="2"/>
        </w:numPr>
        <w:spacing w:after="0"/>
        <w:rPr>
          <w:rFonts w:ascii="FDOT Bold" w:hAnsi="FDOT Bold" w:cs="FDOT Bold"/>
          <w:sz w:val="13"/>
          <w:szCs w:val="13"/>
        </w:rPr>
      </w:pPr>
      <w:r w:rsidRPr="00416DE4">
        <w:rPr>
          <w:rFonts w:ascii="FDOT Bold" w:hAnsi="FDOT Bold" w:cs="FDOT Bold"/>
          <w:sz w:val="13"/>
          <w:szCs w:val="13"/>
        </w:rPr>
        <w:t>TEMPORARY SERVICE POINTS (IF REQUIRED, INCLUDING WIRING DIAGRAMS)</w:t>
      </w:r>
    </w:p>
    <w:p w:rsidR="00F56856" w:rsidRPr="00416DE4" w:rsidRDefault="00E25AF6" w:rsidP="00F56856">
      <w:pPr>
        <w:pStyle w:val="ListParagraph"/>
        <w:numPr>
          <w:ilvl w:val="0"/>
          <w:numId w:val="2"/>
        </w:numPr>
        <w:spacing w:after="0"/>
        <w:rPr>
          <w:rFonts w:ascii="FDOT Bold" w:hAnsi="FDOT Bold" w:cs="FDOT Bold"/>
          <w:sz w:val="13"/>
          <w:szCs w:val="13"/>
        </w:rPr>
      </w:pPr>
      <w:r w:rsidRPr="00416DE4">
        <w:rPr>
          <w:rFonts w:ascii="FDOT Bold" w:hAnsi="FDOT Bold" w:cs="FDOT Bold"/>
          <w:sz w:val="13"/>
          <w:szCs w:val="13"/>
        </w:rPr>
        <w:t>CALCULATIONS AND DRAWINGS FOR TEMPORARY BARRIER WALL AND/OR DIRECT BURIAL LIGHT POLES AND MOUNTINGS</w:t>
      </w:r>
    </w:p>
    <w:p w:rsidR="00F56856" w:rsidRPr="00416DE4" w:rsidRDefault="00E25AF6" w:rsidP="00F56856">
      <w:pPr>
        <w:pStyle w:val="ListParagraph"/>
        <w:numPr>
          <w:ilvl w:val="0"/>
          <w:numId w:val="2"/>
        </w:numPr>
        <w:spacing w:after="0"/>
        <w:rPr>
          <w:rFonts w:ascii="FDOT Bold" w:hAnsi="FDOT Bold" w:cs="FDOT Bold"/>
          <w:sz w:val="13"/>
          <w:szCs w:val="13"/>
        </w:rPr>
      </w:pPr>
      <w:r w:rsidRPr="00416DE4">
        <w:rPr>
          <w:rFonts w:ascii="FDOT Bold" w:hAnsi="FDOT Bold" w:cs="FDOT Bold"/>
          <w:sz w:val="13"/>
          <w:szCs w:val="13"/>
        </w:rPr>
        <w:t>LOAD CENTER ELECTRICAL EQUIPMENT, INCLUDING WIRING SCHEMATICS</w:t>
      </w:r>
    </w:p>
    <w:p w:rsidR="00F56856" w:rsidRPr="00416DE4" w:rsidRDefault="00E25AF6" w:rsidP="00E25AF6">
      <w:pPr>
        <w:pStyle w:val="ListParagraph"/>
        <w:numPr>
          <w:ilvl w:val="0"/>
          <w:numId w:val="2"/>
        </w:numPr>
        <w:contextualSpacing w:val="0"/>
        <w:rPr>
          <w:rFonts w:ascii="FDOT Bold" w:hAnsi="FDOT Bold" w:cs="FDOT Bold"/>
          <w:sz w:val="13"/>
          <w:szCs w:val="13"/>
        </w:rPr>
      </w:pPr>
      <w:r w:rsidRPr="00416DE4">
        <w:rPr>
          <w:rFonts w:ascii="FDOT Bold" w:hAnsi="FDOT Bold" w:cs="FDOT Bold"/>
          <w:sz w:val="13"/>
          <w:szCs w:val="13"/>
        </w:rPr>
        <w:t>DESIGN CALCULATIONS, INCLUDING VOLTAGE DROP CALCULATIONS AND LOAD ANALYSIS</w:t>
      </w:r>
    </w:p>
    <w:p w:rsidR="00F56856" w:rsidRPr="00416DE4" w:rsidRDefault="00E25AF6" w:rsidP="00E25AF6">
      <w:pPr>
        <w:pStyle w:val="ListParagraph"/>
        <w:numPr>
          <w:ilvl w:val="0"/>
          <w:numId w:val="1"/>
        </w:numPr>
        <w:ind w:left="360"/>
        <w:contextualSpacing w:val="0"/>
        <w:rPr>
          <w:rFonts w:ascii="FDOT Bold" w:hAnsi="FDOT Bold" w:cs="FDOT Bold"/>
          <w:sz w:val="13"/>
          <w:szCs w:val="13"/>
        </w:rPr>
      </w:pPr>
      <w:r w:rsidRPr="00416DE4">
        <w:rPr>
          <w:rFonts w:ascii="FDOT Bold" w:hAnsi="FDOT Bold" w:cs="FDOT Bold"/>
          <w:sz w:val="13"/>
          <w:szCs w:val="13"/>
        </w:rPr>
        <w:t>REFER TO FDOT ROADWAY DESIGN BULLETIN 14-04 (TEMPORARY HIGHWAY LIGHTING) FOR UPDATED REQUIREMENTS.</w:t>
      </w:r>
    </w:p>
    <w:p w:rsidR="00F56856" w:rsidRPr="00416DE4" w:rsidRDefault="00E25AF6" w:rsidP="00E25AF6">
      <w:pPr>
        <w:pStyle w:val="ListParagraph"/>
        <w:numPr>
          <w:ilvl w:val="0"/>
          <w:numId w:val="1"/>
        </w:numPr>
        <w:ind w:left="360"/>
        <w:contextualSpacing w:val="0"/>
        <w:rPr>
          <w:rFonts w:ascii="FDOT Bold" w:hAnsi="FDOT Bold" w:cs="FDOT Bold"/>
          <w:sz w:val="13"/>
          <w:szCs w:val="13"/>
        </w:rPr>
      </w:pPr>
      <w:r w:rsidRPr="00416DE4">
        <w:rPr>
          <w:rFonts w:ascii="FDOT Bold" w:hAnsi="FDOT Bold" w:cs="FDOT Bold"/>
          <w:sz w:val="13"/>
          <w:szCs w:val="13"/>
        </w:rPr>
        <w:t>TEMPORARY LIGHT POLES NOT BEHIND BARRIER MUST BE BREAKAWAY.</w:t>
      </w:r>
    </w:p>
    <w:p w:rsidR="00F56856" w:rsidRPr="00416DE4" w:rsidRDefault="00E25AF6" w:rsidP="00E25AF6">
      <w:pPr>
        <w:pStyle w:val="ListParagraph"/>
        <w:numPr>
          <w:ilvl w:val="0"/>
          <w:numId w:val="1"/>
        </w:numPr>
        <w:ind w:left="360"/>
        <w:contextualSpacing w:val="0"/>
        <w:rPr>
          <w:rFonts w:ascii="FDOT Bold" w:hAnsi="FDOT Bold" w:cs="FDOT Bold"/>
          <w:sz w:val="13"/>
          <w:szCs w:val="13"/>
        </w:rPr>
      </w:pPr>
      <w:r w:rsidRPr="00416DE4">
        <w:rPr>
          <w:rFonts w:ascii="FDOT Bold" w:hAnsi="FDOT Bold" w:cs="FDOT Bold"/>
          <w:sz w:val="13"/>
          <w:szCs w:val="13"/>
        </w:rPr>
        <w:t>ALL STRUCTURE CALCULATIONS AND DRAWINGS M</w:t>
      </w:r>
      <w:r w:rsidR="00806DB3">
        <w:rPr>
          <w:rFonts w:ascii="FDOT Bold" w:hAnsi="FDOT Bold" w:cs="FDOT Bold"/>
          <w:sz w:val="13"/>
          <w:szCs w:val="13"/>
        </w:rPr>
        <w:t>U</w:t>
      </w:r>
      <w:r w:rsidRPr="00416DE4">
        <w:rPr>
          <w:rFonts w:ascii="FDOT Bold" w:hAnsi="FDOT Bold" w:cs="FDOT Bold"/>
          <w:sz w:val="13"/>
          <w:szCs w:val="13"/>
        </w:rPr>
        <w:t>ST BE SIGNED AND SEALED BY A PROFESSIONAL ENGINEER REGISTERED IN THE STATE OF FLORIDA.</w:t>
      </w:r>
    </w:p>
    <w:p w:rsidR="00E25AF6" w:rsidRDefault="00E25AF6" w:rsidP="002472A2">
      <w:pPr>
        <w:pStyle w:val="ListParagraph"/>
        <w:numPr>
          <w:ilvl w:val="0"/>
          <w:numId w:val="1"/>
        </w:numPr>
        <w:ind w:left="360"/>
        <w:contextualSpacing w:val="0"/>
        <w:rPr>
          <w:rFonts w:ascii="FDOT Bold" w:hAnsi="FDOT Bold" w:cs="FDOT Bold"/>
          <w:sz w:val="13"/>
          <w:szCs w:val="13"/>
        </w:rPr>
      </w:pPr>
      <w:r w:rsidRPr="00416DE4">
        <w:rPr>
          <w:rFonts w:ascii="FDOT Bold" w:hAnsi="FDOT Bold" w:cs="FDOT Bold"/>
          <w:sz w:val="13"/>
          <w:szCs w:val="13"/>
        </w:rPr>
        <w:t>THE NOMINAL HEIGHT OF THE TEMPORARY LIGHT POLES SHALL NOT EXCEED THE NOMINAL HEIGHT OF THE EXISTING LIGHT POLES.</w:t>
      </w:r>
    </w:p>
    <w:p w:rsidR="002472A2" w:rsidRPr="00416DE4" w:rsidRDefault="002472A2" w:rsidP="00F56856">
      <w:pPr>
        <w:pStyle w:val="ListParagraph"/>
        <w:numPr>
          <w:ilvl w:val="0"/>
          <w:numId w:val="1"/>
        </w:numPr>
        <w:spacing w:after="0"/>
        <w:ind w:left="360"/>
        <w:rPr>
          <w:rFonts w:ascii="FDOT Bold" w:hAnsi="FDOT Bold" w:cs="FDOT Bold"/>
          <w:sz w:val="13"/>
          <w:szCs w:val="13"/>
        </w:rPr>
      </w:pPr>
      <w:r>
        <w:rPr>
          <w:rFonts w:ascii="FDOT Bold" w:hAnsi="FDOT Bold" w:cs="FDOT Bold"/>
          <w:sz w:val="13"/>
          <w:szCs w:val="13"/>
        </w:rPr>
        <w:t>TEMPORARY LIGHTING SHALL BE IN COMPLIANCE WITH FA</w:t>
      </w:r>
      <w:r w:rsidR="008A6375">
        <w:rPr>
          <w:rFonts w:ascii="FDOT Bold" w:hAnsi="FDOT Bold" w:cs="FDOT Bold"/>
          <w:sz w:val="13"/>
          <w:szCs w:val="13"/>
        </w:rPr>
        <w:t>A</w:t>
      </w:r>
      <w:r>
        <w:rPr>
          <w:rFonts w:ascii="FDOT Bold" w:hAnsi="FDOT Bold" w:cs="FDOT Bold"/>
          <w:sz w:val="13"/>
          <w:szCs w:val="13"/>
        </w:rPr>
        <w:t>/GOAA REQUIREMENTS FOR LIGHTING IN THE GLIDE PATH.</w:t>
      </w:r>
    </w:p>
    <w:p w:rsidR="008224EC" w:rsidRPr="00416DE4" w:rsidRDefault="002472A2" w:rsidP="00CB1AC9">
      <w:pPr>
        <w:spacing w:after="0"/>
        <w:ind w:left="360" w:hanging="360"/>
        <w:rPr>
          <w:rFonts w:ascii="FDOT Bold" w:hAnsi="FDOT Bold" w:cs="FDOT Bold"/>
          <w:sz w:val="13"/>
          <w:szCs w:val="13"/>
        </w:rPr>
      </w:pPr>
      <w:r w:rsidRPr="00416DE4">
        <w:rPr>
          <w:rFonts w:ascii="FDOT Bold" w:hAnsi="FDOT Bold" w:cs="FDOT Bold"/>
          <w:sz w:val="13"/>
          <w:szCs w:val="13"/>
        </w:rPr>
        <w:tab/>
      </w:r>
      <w:r w:rsidRPr="00416DE4">
        <w:rPr>
          <w:rFonts w:ascii="FDOT Bold" w:hAnsi="FDOT Bold" w:cs="FDOT Bold"/>
          <w:sz w:val="13"/>
          <w:szCs w:val="13"/>
        </w:rPr>
        <w:tab/>
      </w:r>
    </w:p>
    <w:p w:rsidR="008224EC" w:rsidRPr="00416DE4" w:rsidRDefault="008224EC" w:rsidP="008224EC">
      <w:pPr>
        <w:spacing w:after="240"/>
        <w:rPr>
          <w:rFonts w:ascii="FDOT Bold" w:hAnsi="FDOT Bold" w:cs="FDOT Bold"/>
          <w:sz w:val="13"/>
          <w:szCs w:val="13"/>
        </w:rPr>
      </w:pPr>
    </w:p>
    <w:p w:rsidR="008224EC" w:rsidRPr="00416DE4" w:rsidRDefault="008224EC" w:rsidP="006C0706">
      <w:pPr>
        <w:rPr>
          <w:rFonts w:ascii="FDOT Bold" w:hAnsi="FDOT Bold" w:cs="FDOT Bold"/>
          <w:sz w:val="13"/>
          <w:szCs w:val="13"/>
        </w:rPr>
      </w:pPr>
    </w:p>
    <w:p w:rsidR="006C0706" w:rsidRPr="00416DE4" w:rsidRDefault="006C0706">
      <w:pPr>
        <w:rPr>
          <w:rFonts w:ascii="FDOT Bold" w:hAnsi="FDOT Bold" w:cs="FDOT Bold"/>
          <w:sz w:val="13"/>
          <w:szCs w:val="13"/>
        </w:rPr>
      </w:pPr>
    </w:p>
    <w:sectPr w:rsidR="006C0706" w:rsidRPr="00416DE4" w:rsidSect="004A0018">
      <w:pgSz w:w="11088" w:h="13824"/>
      <w:pgMar w:top="432" w:right="360" w:bottom="792"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DOT Bold">
    <w:panose1 w:val="00000000000000000000"/>
    <w:charset w:val="00"/>
    <w:family w:val="auto"/>
    <w:pitch w:val="variable"/>
    <w:sig w:usb0="E7002EFF" w:usb1="D300FDFF" w:usb2="0004602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F24F62"/>
    <w:multiLevelType w:val="hybridMultilevel"/>
    <w:tmpl w:val="A8287C44"/>
    <w:lvl w:ilvl="0" w:tplc="9C62E3D4">
      <w:start w:val="1"/>
      <w:numFmt w:val="upperLetter"/>
      <w:lvlText w:val="%1)"/>
      <w:lvlJc w:val="left"/>
      <w:pPr>
        <w:ind w:left="1080" w:hanging="360"/>
      </w:pPr>
      <w:rPr>
        <w:rFonts w:hint="default"/>
        <w:sz w:val="13"/>
        <w:szCs w:val="13"/>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C270233"/>
    <w:multiLevelType w:val="multilevel"/>
    <w:tmpl w:val="B0A65CE6"/>
    <w:lvl w:ilvl="0">
      <w:start w:val="1"/>
      <w:numFmt w:val="decimal"/>
      <w:lvlText w:val="%1."/>
      <w:lvlJc w:val="left"/>
      <w:pPr>
        <w:ind w:left="720" w:hanging="360"/>
      </w:pPr>
      <w:rPr>
        <w:rFonts w:hint="default"/>
        <w:sz w:val="13"/>
        <w:szCs w:val="13"/>
      </w:rPr>
    </w:lvl>
    <w:lvl w:ilvl="1">
      <w:start w:val="1"/>
      <w:numFmt w:val="upp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306"/>
    <w:rsid w:val="00006286"/>
    <w:rsid w:val="0007174C"/>
    <w:rsid w:val="001669AE"/>
    <w:rsid w:val="001D51BD"/>
    <w:rsid w:val="001F2202"/>
    <w:rsid w:val="002472A2"/>
    <w:rsid w:val="00267317"/>
    <w:rsid w:val="00275FC2"/>
    <w:rsid w:val="00392A15"/>
    <w:rsid w:val="00416DE4"/>
    <w:rsid w:val="004240F7"/>
    <w:rsid w:val="004A0018"/>
    <w:rsid w:val="004E03CC"/>
    <w:rsid w:val="004F5D8E"/>
    <w:rsid w:val="00500890"/>
    <w:rsid w:val="00503F7F"/>
    <w:rsid w:val="005E0C8A"/>
    <w:rsid w:val="0061032C"/>
    <w:rsid w:val="00673364"/>
    <w:rsid w:val="006A3E4C"/>
    <w:rsid w:val="006C0706"/>
    <w:rsid w:val="00720C69"/>
    <w:rsid w:val="00737642"/>
    <w:rsid w:val="00741862"/>
    <w:rsid w:val="00806DB3"/>
    <w:rsid w:val="008224EC"/>
    <w:rsid w:val="00823D21"/>
    <w:rsid w:val="00826BB5"/>
    <w:rsid w:val="008300A0"/>
    <w:rsid w:val="00850411"/>
    <w:rsid w:val="00857306"/>
    <w:rsid w:val="0089435E"/>
    <w:rsid w:val="008A6375"/>
    <w:rsid w:val="00915B45"/>
    <w:rsid w:val="00AA4DB1"/>
    <w:rsid w:val="00AB4F9A"/>
    <w:rsid w:val="00AF3613"/>
    <w:rsid w:val="00CA779F"/>
    <w:rsid w:val="00CB1AC9"/>
    <w:rsid w:val="00CD32C6"/>
    <w:rsid w:val="00CE2A6E"/>
    <w:rsid w:val="00D307AF"/>
    <w:rsid w:val="00D75818"/>
    <w:rsid w:val="00D90AAB"/>
    <w:rsid w:val="00E25AF6"/>
    <w:rsid w:val="00ED0254"/>
    <w:rsid w:val="00EF0290"/>
    <w:rsid w:val="00F568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7E49B3-C0B2-44E9-A3A9-7246D43C4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24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7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534</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Template Half Plan Sheet (Vertical)</vt:lpstr>
    </vt:vector>
  </TitlesOfParts>
  <Manager>Jimmie Prow</Manager>
  <Company>Florida Department of Transportation</Company>
  <LinksUpToDate>false</LinksUpToDate>
  <CharactersWithSpaces>3577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Half Plan Sheet (Vertical)</dc:title>
  <dc:subject/>
  <dc:creator>Broom, Denise</dc:creator>
  <cp:keywords/>
  <dc:description/>
  <cp:lastModifiedBy>Jenarine, Rick</cp:lastModifiedBy>
  <cp:revision>24</cp:revision>
  <dcterms:created xsi:type="dcterms:W3CDTF">2015-04-15T20:49:00Z</dcterms:created>
  <dcterms:modified xsi:type="dcterms:W3CDTF">2019-09-19T18:59:00Z</dcterms:modified>
  <cp:category>Roadway; DOCX</cp:category>
</cp:coreProperties>
</file>